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3C" w:rsidRPr="0078203C" w:rsidRDefault="0078203C" w:rsidP="0078203C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15 мая 2013 г. N 416 "О порядке осуществления деятельности по управлению многоквартирными домами" (с изменениями и дополнениями)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78203C" w:rsidRPr="0078203C" w:rsidRDefault="0078203C" w:rsidP="0078203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 Правительства РФ от 15 мая 2013 г. N 416 "О порядке осуществления деятельности по управлению многоквартирными домами" (с изменениями и дополнениями)</w:t>
        </w:r>
      </w:hyperlink>
    </w:p>
    <w:p w:rsidR="0078203C" w:rsidRPr="0078203C" w:rsidRDefault="0078203C" w:rsidP="0078203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Правила осуществления деятельности по управлению многоквартирными домами</w:t>
        </w:r>
      </w:hyperlink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15 мая 2013 г. N 416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порядке осуществления деятельности по управлению многоквартирными домами"</w:t>
      </w:r>
    </w:p>
    <w:p w:rsidR="0078203C" w:rsidRPr="0078203C" w:rsidRDefault="0078203C" w:rsidP="0078203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 марта 2014 г., 25 декабря 2015 г.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8" w:anchor="block_16101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 1 статьи 161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Жилищного кодекса Российской Федерации Правительство Российской Федерации постановляет: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прилагаемые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9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Правила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осуществления деятельности по управлению многоквартирными домами.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" w:anchor="block_58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26 марта 2014 г. N 230 в пункт 2 внесены изменения</w:t>
      </w:r>
    </w:p>
    <w:p w:rsidR="0078203C" w:rsidRPr="0078203C" w:rsidRDefault="0078203C" w:rsidP="0078203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" w:anchor="block_2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Министерству строительства и жилищно-коммунального хозяйства Российской Федерации давать разъяснения о порядке применения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2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Правил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утвержденных настоящим постановлением.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8203C" w:rsidRPr="0078203C" w:rsidTr="0078203C">
        <w:tc>
          <w:tcPr>
            <w:tcW w:w="3300" w:type="pct"/>
            <w:vAlign w:val="bottom"/>
            <w:hideMark/>
          </w:tcPr>
          <w:p w:rsidR="0078203C" w:rsidRPr="0078203C" w:rsidRDefault="0078203C" w:rsidP="0078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 </w:t>
            </w:r>
            <w:r w:rsidRPr="0078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8203C" w:rsidRPr="0078203C" w:rsidRDefault="0078203C" w:rsidP="0078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осуществления деятельности по управлению многоквартирными домами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3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РФ от 15 мая 2013 г. N 416)</w:t>
      </w:r>
    </w:p>
    <w:p w:rsidR="0078203C" w:rsidRPr="0078203C" w:rsidRDefault="0078203C" w:rsidP="0078203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декабря 2015 г.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управляющими организациями, заключившими договор управления многоквартирным домом, в том числе в случае, предусмотренном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4" w:anchor="block_1610014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 14 статьи 161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Жилищного кодекса Российской Федерации;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5" w:anchor="block_1041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утратил силу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8203C" w:rsidRPr="0078203C" w:rsidRDefault="0078203C" w:rsidP="0078203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16" w:anchor="block_104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подпункта "г" пункта 1</w:t>
        </w:r>
      </w:hyperlink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7" w:anchor="block_161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статьей 161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Жилищного кодекса Российской Федерации, а также определенных решением собственников помещений в многоквартирном доме.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</w:t>
      </w:r>
      <w:hyperlink r:id="rId18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минимального</w:t>
        </w:r>
        <w:proofErr w:type="spellEnd"/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 xml:space="preserve"> перечня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услуг и работ, необходимых для обеспечения надлежащего содержания общего имущества в многоквартирном доме, утвержденного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9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3 апреля 2013 г. N 290 (далее - минимальный перечень).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Стандарты управления многоквартирным домом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Управление многоквартирным домом обеспечивается выполнением следующих стандартов: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0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Правилами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содержания общего имущества в многоквартирном доме, утвержденными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1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2" w:anchor="block_4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законодательства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Российской Федерации о защите персональных данных;</w:t>
      </w:r>
      <w:proofErr w:type="gramEnd"/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с учетом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3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минимального перечня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перечня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энергоэффективности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подготовка предложений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форм документов, необходимых для регистрации участников собрания;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помещений для проведения собрания, регистрация участников собрания;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документальное оформление решений, принятых собранием;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определение способа оказания услуг и выполнения работ;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подготовка заданий для исполнителей услуг и работ;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Федерации);</w:t>
      </w:r>
      <w:proofErr w:type="gramEnd"/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8203C" w:rsidRPr="0078203C" w:rsidRDefault="0078203C" w:rsidP="0078203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4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Решением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Верховного Суда РФ от 12 января 2015 г. N АКПИ14-1289 абзац девятый подпункта "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 пункта 4 настоящих Правил признан не противоречащим действующему законодательству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осуществление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организациями за коммунальные ресурсы, поставленные по договорам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ресурсоснабжения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5" w:anchor="block_5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жилищным законодательством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Российской Федерации;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раскрытие информации о деятельности по управлению многоквартирным домом в соответствии со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6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стандартом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раскрытия информации организациями, осуществляющими деятельность в сфере управления многоквартирными домами, утвержденным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7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23 сентября 2010 г. N 731;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8203C" w:rsidRPr="0078203C" w:rsidRDefault="0078203C" w:rsidP="0078203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8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Решением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Верховного Суда РФ от 12 января 2015 г. N АКПИ14-1289 абзац пятый подпункта "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 пункта 4 настоящих Правил признан не противоречащим действующему законодательству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качеством услуг и работ, в том числе при их приемке.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Формирование и утверждение перечня услуг и работ по содержанию и ремонту общего имущества в многоквартирном доме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непосредственного управления многоквартирным домом собственниками помещений в этом доме - одним из таких собственников.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 перечень услуг и работ могут быть внесены услуги и работы, не включенные в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9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минимальный перечень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Осуществление аварийно-диспетчерского обслуживания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0" w:anchor="block_1042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25 декабря 2015 г. N 1434 в пункт 9 внесены изменения</w:t>
      </w:r>
    </w:p>
    <w:p w:rsidR="0078203C" w:rsidRPr="0078203C" w:rsidRDefault="0078203C" w:rsidP="0078203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1" w:anchor="block_1009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Абзац третий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2" w:anchor="block_10422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утратил силу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8203C" w:rsidRPr="0078203C" w:rsidRDefault="0078203C" w:rsidP="0078203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33" w:anchor="block_10093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абзаца третьего пункта 9</w:t>
        </w:r>
      </w:hyperlink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10. Аварийно-диспетчерская служба осуществляет повседневный (текущий)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Аварийно-диспетчерская служба с помощью системы диспетчеризации обеспечивает: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загазованности технических подполий и коллекторов;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Аварийно-диспетчерская служба обеспечивает: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14.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ресурсоснабжающих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ресурсоснабжающих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организаций и контролирует устранение ими таких аварий и повреждений.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4" w:anchor="block_1043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25 декабря 2015 г. N 1434 в пункт 15 внесены изменения</w:t>
      </w:r>
    </w:p>
    <w:p w:rsidR="0078203C" w:rsidRPr="0078203C" w:rsidRDefault="0078203C" w:rsidP="0078203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5" w:anchor="block_1015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необходимую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осуществления аварийно-диспетчерского обслуживания.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8203C" w:rsidRPr="0078203C" w:rsidRDefault="0078203C" w:rsidP="0078203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1044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25 декабря 2015 г. N 1434 в пункт 16 внесены изменения</w:t>
      </w:r>
    </w:p>
    <w:p w:rsidR="0078203C" w:rsidRPr="0078203C" w:rsidRDefault="0078203C" w:rsidP="0078203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7" w:anchor="block_1016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св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язи.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Порядок передачи технической документации на многоквартирный дом и иных документов, связанных с управлением этим домом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18.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  <w:proofErr w:type="gramEnd"/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Организация, ранее управлявшая многоквартирным домом и получившая предусмотренное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8" w:anchor="block_1018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пунктом 18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настоящих Правил уведомление, передает в порядке, предусмотренном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9" w:anchor="block_1022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пунктом 22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0" w:anchor="block_1042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подпункте "б" пункта 4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1" w:anchor="block_16201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 10 статьи 162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Жилищного кодекса Российской Федерации.</w:t>
      </w:r>
      <w:proofErr w:type="gramEnd"/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2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Правилами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содержания 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общего имущества в многоквартирном доме, утвержденными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3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13 августа 2006 г. N 491.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21.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4" w:anchor="block_1000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Правилах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содержания общего имущества в многоквартирном доме, утвержденных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begin"/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instrText xml:space="preserve"> HYPERLINK "http://base.garant.ru/12148944/" </w:instrTex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separate"/>
      </w:r>
      <w:r w:rsidRPr="0078203C">
        <w:rPr>
          <w:rFonts w:ascii="Arial" w:eastAsia="Times New Roman" w:hAnsi="Arial" w:cs="Arial"/>
          <w:b/>
          <w:bCs/>
          <w:color w:val="3272C0"/>
          <w:sz w:val="18"/>
          <w:u w:val="single"/>
          <w:lang w:eastAsia="ru-RU"/>
        </w:rPr>
        <w:t>постановлением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end"/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</w:t>
      </w:r>
      <w:proofErr w:type="spell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Российской Федерации от 13 августа 2006 г. N 491, которые были переданы ей в установленном порядке, такая организация обязана в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течение 3 месяцев со дня получения уведомления, предусмотренного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5" w:anchor="block_1018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пунктом 18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настоящих Правил, принять меры к восстановлению таких документов и в порядке, предусмотренном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6" w:anchor="block_1022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пунктом 22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22.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8203C" w:rsidRPr="0078203C" w:rsidRDefault="0078203C" w:rsidP="0078203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7" w:anchor="block_1045" w:history="1">
        <w:r w:rsidRPr="0078203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25 декабря 2015 г. N 1434 Правила дополнены разделом VI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VI. Порядок прекращения деятельности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управлению многоквартирным домом в связи с исключением сведений о многоквартирном доме из реестра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лицензий субъекта Российской Федерации, прекращением действия лицензии на осуществление предпринимательской деятельности по управлению многоквартирными домами или ее аннулированием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24.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конкурса, предусмотренного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8" w:anchor="block_1205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 5 статьи 200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Жилищного кодекса Российской Федерации, или в случае, предусмотренном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9" w:anchor="block_1206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 6 статьи 200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а-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передачи техническую документацию на многоквартирный дом и иные связанные с управлением таким домом документы, предусмотренные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0" w:anchor="block_1024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пунктами 24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1" w:anchor="block_1026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26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Правил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содержания общего имущества в многоквартирном доме, утвержденных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2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13 августа 2006 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перерывами, превышающими установленную продолжительность", а также документы и информацию, указанные в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3" w:anchor="block_316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подпунктах "е"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4" w:anchor="block_317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"ж" пункта 31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5" w:anchor="block_561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пункте 56.1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 </w:t>
      </w:r>
      <w:proofErr w:type="spell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</w:t>
      </w:r>
      <w:hyperlink r:id="rId56" w:anchor="block_572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подпункте</w:t>
        </w:r>
        <w:proofErr w:type="spellEnd"/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 xml:space="preserve"> "б" пункта 57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утвержденных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7" w:history="1">
        <w:r w:rsidRPr="0078203C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6 мая 2011 г. N 354 "О предоставлении коммунальных услуг собственникам и пользователям помещений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многоквартирных домах и жилых домов".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Подлежащие передаче документы должны содержать актуальные на день передачи сведения.</w:t>
      </w:r>
    </w:p>
    <w:p w:rsidR="0078203C" w:rsidRPr="0078203C" w:rsidRDefault="0078203C" w:rsidP="007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26. </w:t>
      </w:r>
      <w:proofErr w:type="gramStart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действие лицензии прекращено или она аннулирована.</w:t>
      </w:r>
    </w:p>
    <w:p w:rsidR="008C693B" w:rsidRDefault="0078203C" w:rsidP="0078203C"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820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7820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8" w:anchor="friends#ixzz4B9paP42w" w:history="1">
        <w:r w:rsidRPr="0078203C">
          <w:rPr>
            <w:rFonts w:ascii="Arial" w:eastAsia="Times New Roman" w:hAnsi="Arial" w:cs="Arial"/>
            <w:b/>
            <w:bCs/>
            <w:color w:val="003399"/>
            <w:sz w:val="18"/>
            <w:u w:val="single"/>
            <w:lang w:eastAsia="ru-RU"/>
          </w:rPr>
          <w:t>http://base.garant.ru/70379374/#friends#ixzz4B9paP42w</w:t>
        </w:r>
      </w:hyperlink>
    </w:p>
    <w:sectPr w:rsidR="008C693B" w:rsidSect="008C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245"/>
    <w:multiLevelType w:val="multilevel"/>
    <w:tmpl w:val="64D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3C"/>
    <w:rsid w:val="0078203C"/>
    <w:rsid w:val="008C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3B"/>
  </w:style>
  <w:style w:type="paragraph" w:styleId="1">
    <w:name w:val="heading 1"/>
    <w:basedOn w:val="a"/>
    <w:link w:val="10"/>
    <w:uiPriority w:val="9"/>
    <w:qFormat/>
    <w:rsid w:val="0078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20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20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203C"/>
  </w:style>
  <w:style w:type="paragraph" w:customStyle="1" w:styleId="s3">
    <w:name w:val="s_3"/>
    <w:basedOn w:val="a"/>
    <w:rsid w:val="007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30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3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91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3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9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379374/" TargetMode="External"/><Relationship Id="rId18" Type="http://schemas.openxmlformats.org/officeDocument/2006/relationships/hyperlink" Target="http://base.garant.ru/70354682/" TargetMode="External"/><Relationship Id="rId26" Type="http://schemas.openxmlformats.org/officeDocument/2006/relationships/hyperlink" Target="http://base.garant.ru/12179104/" TargetMode="External"/><Relationship Id="rId39" Type="http://schemas.openxmlformats.org/officeDocument/2006/relationships/hyperlink" Target="http://base.garant.ru/70379374/" TargetMode="External"/><Relationship Id="rId21" Type="http://schemas.openxmlformats.org/officeDocument/2006/relationships/hyperlink" Target="http://base.garant.ru/12148944/" TargetMode="External"/><Relationship Id="rId34" Type="http://schemas.openxmlformats.org/officeDocument/2006/relationships/hyperlink" Target="http://base.garant.ru/71295566/" TargetMode="External"/><Relationship Id="rId42" Type="http://schemas.openxmlformats.org/officeDocument/2006/relationships/hyperlink" Target="http://base.garant.ru/12148944/" TargetMode="External"/><Relationship Id="rId47" Type="http://schemas.openxmlformats.org/officeDocument/2006/relationships/hyperlink" Target="http://base.garant.ru/71295566/" TargetMode="External"/><Relationship Id="rId50" Type="http://schemas.openxmlformats.org/officeDocument/2006/relationships/hyperlink" Target="http://base.garant.ru/12148944/" TargetMode="External"/><Relationship Id="rId55" Type="http://schemas.openxmlformats.org/officeDocument/2006/relationships/hyperlink" Target="http://base.garant.ru/12186043/" TargetMode="External"/><Relationship Id="rId7" Type="http://schemas.openxmlformats.org/officeDocument/2006/relationships/hyperlink" Target="http://base.garant.ru/70379374/" TargetMode="External"/><Relationship Id="rId12" Type="http://schemas.openxmlformats.org/officeDocument/2006/relationships/hyperlink" Target="http://base.garant.ru/70379374/" TargetMode="External"/><Relationship Id="rId17" Type="http://schemas.openxmlformats.org/officeDocument/2006/relationships/hyperlink" Target="http://base.garant.ru/12138291/17/" TargetMode="External"/><Relationship Id="rId25" Type="http://schemas.openxmlformats.org/officeDocument/2006/relationships/hyperlink" Target="http://base.garant.ru/12138291/1/" TargetMode="External"/><Relationship Id="rId33" Type="http://schemas.openxmlformats.org/officeDocument/2006/relationships/hyperlink" Target="http://base.garant.ru/57405849/" TargetMode="External"/><Relationship Id="rId38" Type="http://schemas.openxmlformats.org/officeDocument/2006/relationships/hyperlink" Target="http://base.garant.ru/70379374/" TargetMode="External"/><Relationship Id="rId46" Type="http://schemas.openxmlformats.org/officeDocument/2006/relationships/hyperlink" Target="http://base.garant.ru/70379374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57405849/" TargetMode="External"/><Relationship Id="rId20" Type="http://schemas.openxmlformats.org/officeDocument/2006/relationships/hyperlink" Target="http://base.garant.ru/12148944/" TargetMode="External"/><Relationship Id="rId29" Type="http://schemas.openxmlformats.org/officeDocument/2006/relationships/hyperlink" Target="http://base.garant.ru/70354682/" TargetMode="External"/><Relationship Id="rId41" Type="http://schemas.openxmlformats.org/officeDocument/2006/relationships/hyperlink" Target="http://base.garant.ru/12138291/17/" TargetMode="External"/><Relationship Id="rId54" Type="http://schemas.openxmlformats.org/officeDocument/2006/relationships/hyperlink" Target="http://base.garant.ru/1218604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57746605/" TargetMode="External"/><Relationship Id="rId24" Type="http://schemas.openxmlformats.org/officeDocument/2006/relationships/hyperlink" Target="http://base.garant.ru/70891612/" TargetMode="External"/><Relationship Id="rId32" Type="http://schemas.openxmlformats.org/officeDocument/2006/relationships/hyperlink" Target="http://base.garant.ru/71295566/" TargetMode="External"/><Relationship Id="rId37" Type="http://schemas.openxmlformats.org/officeDocument/2006/relationships/hyperlink" Target="http://base.garant.ru/57405849/" TargetMode="External"/><Relationship Id="rId40" Type="http://schemas.openxmlformats.org/officeDocument/2006/relationships/hyperlink" Target="http://base.garant.ru/70379374/" TargetMode="External"/><Relationship Id="rId45" Type="http://schemas.openxmlformats.org/officeDocument/2006/relationships/hyperlink" Target="http://base.garant.ru/70379374/" TargetMode="External"/><Relationship Id="rId53" Type="http://schemas.openxmlformats.org/officeDocument/2006/relationships/hyperlink" Target="http://base.garant.ru/12186043/" TargetMode="External"/><Relationship Id="rId58" Type="http://schemas.openxmlformats.org/officeDocument/2006/relationships/hyperlink" Target="http://base.garant.ru/70379374/" TargetMode="External"/><Relationship Id="rId5" Type="http://schemas.openxmlformats.org/officeDocument/2006/relationships/hyperlink" Target="http://base.garant.ru/70379374/" TargetMode="External"/><Relationship Id="rId15" Type="http://schemas.openxmlformats.org/officeDocument/2006/relationships/hyperlink" Target="http://base.garant.ru/71295566/" TargetMode="External"/><Relationship Id="rId23" Type="http://schemas.openxmlformats.org/officeDocument/2006/relationships/hyperlink" Target="http://base.garant.ru/70354682/" TargetMode="External"/><Relationship Id="rId28" Type="http://schemas.openxmlformats.org/officeDocument/2006/relationships/hyperlink" Target="http://base.garant.ru/70891612/" TargetMode="External"/><Relationship Id="rId36" Type="http://schemas.openxmlformats.org/officeDocument/2006/relationships/hyperlink" Target="http://base.garant.ru/71295566/" TargetMode="External"/><Relationship Id="rId49" Type="http://schemas.openxmlformats.org/officeDocument/2006/relationships/hyperlink" Target="http://base.garant.ru/12138291/21/" TargetMode="External"/><Relationship Id="rId57" Type="http://schemas.openxmlformats.org/officeDocument/2006/relationships/hyperlink" Target="http://base.garant.ru/12186043/" TargetMode="External"/><Relationship Id="rId10" Type="http://schemas.openxmlformats.org/officeDocument/2006/relationships/hyperlink" Target="http://base.garant.ru/70624356/" TargetMode="External"/><Relationship Id="rId19" Type="http://schemas.openxmlformats.org/officeDocument/2006/relationships/hyperlink" Target="http://base.garant.ru/70354682/" TargetMode="External"/><Relationship Id="rId31" Type="http://schemas.openxmlformats.org/officeDocument/2006/relationships/hyperlink" Target="http://base.garant.ru/57405849/" TargetMode="External"/><Relationship Id="rId44" Type="http://schemas.openxmlformats.org/officeDocument/2006/relationships/hyperlink" Target="http://base.garant.ru/12148944/" TargetMode="External"/><Relationship Id="rId52" Type="http://schemas.openxmlformats.org/officeDocument/2006/relationships/hyperlink" Target="http://base.garant.ru/12148944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79374/" TargetMode="External"/><Relationship Id="rId14" Type="http://schemas.openxmlformats.org/officeDocument/2006/relationships/hyperlink" Target="http://base.garant.ru/12138291/17/" TargetMode="External"/><Relationship Id="rId22" Type="http://schemas.openxmlformats.org/officeDocument/2006/relationships/hyperlink" Target="http://base.garant.ru/12148567/1/" TargetMode="External"/><Relationship Id="rId27" Type="http://schemas.openxmlformats.org/officeDocument/2006/relationships/hyperlink" Target="http://base.garant.ru/12179104/" TargetMode="External"/><Relationship Id="rId30" Type="http://schemas.openxmlformats.org/officeDocument/2006/relationships/hyperlink" Target="http://base.garant.ru/71295566/" TargetMode="External"/><Relationship Id="rId35" Type="http://schemas.openxmlformats.org/officeDocument/2006/relationships/hyperlink" Target="http://base.garant.ru/57405849/" TargetMode="External"/><Relationship Id="rId43" Type="http://schemas.openxmlformats.org/officeDocument/2006/relationships/hyperlink" Target="http://base.garant.ru/12148944/" TargetMode="External"/><Relationship Id="rId48" Type="http://schemas.openxmlformats.org/officeDocument/2006/relationships/hyperlink" Target="http://base.garant.ru/12138291/21/" TargetMode="External"/><Relationship Id="rId56" Type="http://schemas.openxmlformats.org/officeDocument/2006/relationships/hyperlink" Target="http://base.garant.ru/12186043/" TargetMode="External"/><Relationship Id="rId8" Type="http://schemas.openxmlformats.org/officeDocument/2006/relationships/hyperlink" Target="http://base.garant.ru/12138291/17/" TargetMode="External"/><Relationship Id="rId51" Type="http://schemas.openxmlformats.org/officeDocument/2006/relationships/hyperlink" Target="http://base.garant.ru/1214894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4676</Words>
  <Characters>26659</Characters>
  <Application>Microsoft Office Word</Application>
  <DocSecurity>0</DocSecurity>
  <Lines>222</Lines>
  <Paragraphs>62</Paragraphs>
  <ScaleCrop>false</ScaleCrop>
  <Company>Microsoft</Company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2016-06-10T07:01:00Z</dcterms:created>
  <dcterms:modified xsi:type="dcterms:W3CDTF">2016-06-10T07:01:00Z</dcterms:modified>
</cp:coreProperties>
</file>